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4E" w:rsidRPr="00F30AFA" w:rsidRDefault="003A4047" w:rsidP="00F4464E">
      <w:r>
        <w:t>Tableau 1. Contenu</w:t>
      </w:r>
      <w:r>
        <w:rPr>
          <w:vertAlign w:val="superscript"/>
        </w:rPr>
        <w:t>1</w:t>
      </w:r>
      <w:r>
        <w:t xml:space="preserve"> des banques de données agrégées du Système canadien de surveillance des maladies chroniques (SCSMC), par maladie</w:t>
      </w:r>
      <w:r>
        <w:rPr>
          <w:vertAlign w:val="superscript"/>
        </w:rPr>
        <w:t>2</w:t>
      </w:r>
      <w:r>
        <w:t>, 2000</w:t>
      </w:r>
      <w:r>
        <w:noBreakHyphen/>
        <w:t>2016</w:t>
      </w:r>
      <w:r>
        <w:rPr>
          <w:vertAlign w:val="superscript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130"/>
      </w:tblGrid>
      <w:tr w:rsidR="006B5C2D" w:rsidTr="006B5C2D">
        <w:tc>
          <w:tcPr>
            <w:tcW w:w="3192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6B5C2D" w:rsidRPr="008E1750" w:rsidRDefault="006B5C2D" w:rsidP="00942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Catégorie</w:t>
            </w:r>
          </w:p>
        </w:tc>
        <w:tc>
          <w:tcPr>
            <w:tcW w:w="6130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6B5C2D" w:rsidRPr="008E1750" w:rsidRDefault="006B5C2D" w:rsidP="009E4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de l’élément de données</w:t>
            </w:r>
          </w:p>
        </w:tc>
      </w:tr>
      <w:tr w:rsidR="006B5C2D" w:rsidRPr="00F30AFA" w:rsidTr="001E7B96"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C2D" w:rsidRPr="00E40394" w:rsidRDefault="006B5C2D" w:rsidP="00F44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Variables démographiques</w:t>
            </w:r>
          </w:p>
        </w:tc>
        <w:tc>
          <w:tcPr>
            <w:tcW w:w="6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C2D" w:rsidRPr="001D41C3" w:rsidRDefault="001D41C3" w:rsidP="00F4464E">
            <w:pPr>
              <w:rPr>
                <w:sz w:val="18"/>
                <w:szCs w:val="18"/>
              </w:rPr>
            </w:pPr>
            <w:r w:rsidRPr="001D41C3">
              <w:rPr>
                <w:sz w:val="18"/>
                <w:szCs w:val="18"/>
              </w:rPr>
              <w:t xml:space="preserve">ˇAnnée fiscale de données </w:t>
            </w:r>
            <w:r w:rsidR="006B5C2D" w:rsidRPr="001D41C3">
              <w:rPr>
                <w:sz w:val="18"/>
                <w:szCs w:val="18"/>
              </w:rPr>
              <w:t>(du 1</w:t>
            </w:r>
            <w:r w:rsidR="006B5C2D" w:rsidRPr="001D41C3">
              <w:rPr>
                <w:sz w:val="18"/>
                <w:szCs w:val="18"/>
                <w:vertAlign w:val="superscript"/>
              </w:rPr>
              <w:t>er</w:t>
            </w:r>
            <w:r w:rsidR="006B5C2D" w:rsidRPr="001D41C3">
              <w:rPr>
                <w:sz w:val="18"/>
                <w:szCs w:val="18"/>
              </w:rPr>
              <w:t> avril au 31 mars)</w:t>
            </w:r>
          </w:p>
          <w:p w:rsidR="006B5C2D" w:rsidRPr="001D41C3" w:rsidRDefault="006B5C2D" w:rsidP="00F4464E">
            <w:pPr>
              <w:rPr>
                <w:sz w:val="18"/>
                <w:szCs w:val="18"/>
              </w:rPr>
            </w:pPr>
            <w:r w:rsidRPr="001D41C3">
              <w:rPr>
                <w:sz w:val="18"/>
                <w:szCs w:val="18"/>
              </w:rPr>
              <w:t>ˇSexe</w:t>
            </w:r>
          </w:p>
          <w:p w:rsidR="006B5C2D" w:rsidRPr="001D41C3" w:rsidRDefault="006B5C2D" w:rsidP="00F4464E">
            <w:pPr>
              <w:rPr>
                <w:sz w:val="18"/>
                <w:szCs w:val="18"/>
              </w:rPr>
            </w:pPr>
            <w:r w:rsidRPr="001D41C3">
              <w:rPr>
                <w:sz w:val="18"/>
                <w:szCs w:val="18"/>
              </w:rPr>
              <w:t>ˇGroupe d’âge</w:t>
            </w:r>
          </w:p>
          <w:p w:rsidR="00F67C8A" w:rsidRPr="00E40394" w:rsidRDefault="00F67C8A" w:rsidP="00F67C8A">
            <w:pPr>
              <w:rPr>
                <w:sz w:val="18"/>
                <w:szCs w:val="18"/>
              </w:rPr>
            </w:pPr>
            <w:r w:rsidRPr="001D41C3">
              <w:rPr>
                <w:sz w:val="18"/>
                <w:szCs w:val="18"/>
              </w:rPr>
              <w:t>ˇPopulation (personnes titulaires d’une couverture d’assurance-maladie provinciale ou territoriale valide)</w:t>
            </w:r>
          </w:p>
        </w:tc>
      </w:tr>
      <w:tr w:rsidR="00AD7ACC" w:rsidRPr="00F30AFA" w:rsidTr="001E7B96"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7ACC" w:rsidRPr="00E40394" w:rsidRDefault="00AD7ACC" w:rsidP="009E4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Personnes ayant reçu un nouveau diagnostic correspondant à la définition de cas de la maladie pendant l’année en cours</w:t>
            </w:r>
          </w:p>
        </w:tc>
        <w:tc>
          <w:tcPr>
            <w:tcW w:w="6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7ACC" w:rsidRPr="00E40394" w:rsidRDefault="00AD7ACC" w:rsidP="007538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ˇCas incidents</w:t>
            </w:r>
          </w:p>
          <w:p w:rsidR="00AD7ACC" w:rsidRPr="00E40394" w:rsidRDefault="00AD7ACC" w:rsidP="0075387C">
            <w:pPr>
              <w:rPr>
                <w:sz w:val="18"/>
                <w:szCs w:val="18"/>
              </w:rPr>
            </w:pPr>
          </w:p>
        </w:tc>
      </w:tr>
      <w:tr w:rsidR="00AD7ACC" w:rsidRPr="00F30AFA" w:rsidTr="001E7B96"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7ACC" w:rsidRPr="00E40394" w:rsidRDefault="00AD7ACC" w:rsidP="007538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Personnes ayant reçu un diagnostic correspondant à la définition de cas de la maladie avant ou pendant l’année en cours</w:t>
            </w:r>
          </w:p>
        </w:tc>
        <w:tc>
          <w:tcPr>
            <w:tcW w:w="6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7ACC" w:rsidRPr="00E40394" w:rsidRDefault="00AD7ACC" w:rsidP="00125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ˇCas prévalents</w:t>
            </w:r>
          </w:p>
        </w:tc>
      </w:tr>
      <w:tr w:rsidR="00B9170A" w:rsidRPr="00F30AFA" w:rsidTr="001E7B96"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70A" w:rsidRPr="00E40394" w:rsidRDefault="00B9170A" w:rsidP="00125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Mortalité toutes causes confondues chez les personnes ayant reçu un diagnostic correspondant à la définition de cas de la maladie</w:t>
            </w:r>
          </w:p>
        </w:tc>
        <w:tc>
          <w:tcPr>
            <w:tcW w:w="6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70A" w:rsidRPr="00E40394" w:rsidRDefault="00B9170A" w:rsidP="00414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ˇNombre de décès chez les cas </w:t>
            </w:r>
            <w:proofErr w:type="spellStart"/>
            <w:r>
              <w:rPr>
                <w:sz w:val="18"/>
                <w:szCs w:val="18"/>
              </w:rPr>
              <w:t>prévalents</w:t>
            </w:r>
            <w:proofErr w:type="spellEnd"/>
            <w:r>
              <w:rPr>
                <w:sz w:val="18"/>
                <w:szCs w:val="18"/>
              </w:rPr>
              <w:t xml:space="preserve"> de la maladie </w:t>
            </w:r>
          </w:p>
        </w:tc>
      </w:tr>
      <w:tr w:rsidR="00B9170A" w:rsidRPr="00F30AFA" w:rsidTr="001E7B96"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70A" w:rsidRPr="00E40394" w:rsidRDefault="00B9170A" w:rsidP="009E4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Mortalité toutes causes confondues chez les personnes n’ayant pas reçu de diagnostic correspondant à la définition de cas de la maladie </w:t>
            </w:r>
          </w:p>
        </w:tc>
        <w:tc>
          <w:tcPr>
            <w:tcW w:w="6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70A" w:rsidRPr="00E40394" w:rsidRDefault="00B9170A" w:rsidP="00414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ˇNombre de décès chez les personnes n’ayant pas reçu de diagnostic de la maladie </w:t>
            </w:r>
            <w:bookmarkStart w:id="0" w:name="_GoBack"/>
            <w:bookmarkEnd w:id="0"/>
          </w:p>
        </w:tc>
      </w:tr>
    </w:tbl>
    <w:p w:rsidR="00154D83" w:rsidRPr="00154D83" w:rsidRDefault="009D00DC" w:rsidP="00154D83">
      <w:pPr>
        <w:rPr>
          <w:rFonts w:eastAsia="Times New Roman" w:cs="Times New Roman"/>
          <w:color w:val="000000"/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="00210CEC">
        <w:rPr>
          <w:color w:val="000000"/>
          <w:sz w:val="20"/>
          <w:szCs w:val="20"/>
        </w:rPr>
        <w:t xml:space="preserve">Pour l’ensemble du Canada, les chiffres </w:t>
      </w:r>
      <w:r>
        <w:rPr>
          <w:color w:val="000000"/>
          <w:sz w:val="20"/>
          <w:szCs w:val="20"/>
        </w:rPr>
        <w:t xml:space="preserve">inférieurs à 10 </w:t>
      </w:r>
      <w:r w:rsidR="00210CEC">
        <w:rPr>
          <w:color w:val="000000"/>
          <w:sz w:val="20"/>
          <w:szCs w:val="20"/>
        </w:rPr>
        <w:t>ont été</w:t>
      </w:r>
      <w:r>
        <w:rPr>
          <w:color w:val="000000"/>
          <w:sz w:val="20"/>
          <w:szCs w:val="20"/>
        </w:rPr>
        <w:t xml:space="preserve"> supprimés, et les chiffres </w:t>
      </w:r>
      <w:r w:rsidR="0095647C">
        <w:rPr>
          <w:color w:val="000000"/>
          <w:sz w:val="20"/>
          <w:szCs w:val="20"/>
        </w:rPr>
        <w:t>éga</w:t>
      </w:r>
      <w:r w:rsidR="00210CEC">
        <w:rPr>
          <w:color w:val="000000"/>
          <w:sz w:val="20"/>
          <w:szCs w:val="20"/>
        </w:rPr>
        <w:t>ux</w:t>
      </w:r>
      <w:r w:rsidR="0095647C">
        <w:rPr>
          <w:color w:val="000000"/>
          <w:sz w:val="20"/>
          <w:szCs w:val="20"/>
        </w:rPr>
        <w:t xml:space="preserve"> ou supérieurs à</w:t>
      </w:r>
      <w:r>
        <w:rPr>
          <w:color w:val="000000"/>
          <w:sz w:val="20"/>
          <w:szCs w:val="20"/>
        </w:rPr>
        <w:t xml:space="preserve"> 10  </w:t>
      </w:r>
      <w:r w:rsidR="00210CEC">
        <w:rPr>
          <w:color w:val="000000"/>
          <w:sz w:val="20"/>
          <w:szCs w:val="20"/>
        </w:rPr>
        <w:t>ont été</w:t>
      </w:r>
      <w:r>
        <w:rPr>
          <w:color w:val="000000"/>
          <w:sz w:val="20"/>
          <w:szCs w:val="20"/>
        </w:rPr>
        <w:t xml:space="preserve"> arrondis aléatoirement </w:t>
      </w:r>
      <w:r w:rsidR="00E75908">
        <w:rPr>
          <w:color w:val="000000"/>
          <w:sz w:val="20"/>
          <w:szCs w:val="20"/>
        </w:rPr>
        <w:t xml:space="preserve">à la hausse ou à la baisse </w:t>
      </w:r>
      <w:r w:rsidR="0095647C">
        <w:rPr>
          <w:color w:val="000000"/>
          <w:sz w:val="20"/>
          <w:szCs w:val="20"/>
        </w:rPr>
        <w:t>au multiple de 10 le plus près</w:t>
      </w:r>
      <w:r>
        <w:rPr>
          <w:color w:val="000000"/>
          <w:sz w:val="20"/>
          <w:szCs w:val="20"/>
        </w:rPr>
        <w:t xml:space="preserve">. </w:t>
      </w:r>
    </w:p>
    <w:p w:rsidR="00333A4E" w:rsidRPr="0099358E" w:rsidRDefault="00333A4E" w:rsidP="00154D83">
      <w:pPr>
        <w:rPr>
          <w:rFonts w:ascii="Times New Roman" w:eastAsia="Times New Roman" w:hAnsi="Times New Roman" w:cs="Times New Roman"/>
          <w:szCs w:val="24"/>
        </w:rPr>
      </w:pP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Diabète, hypertension, infarctus aigu du myocarde, cardiopathie ischémique, insuffisance cardiaque, accident vasculaire cérébral, asthme, maladie pulmonaire obstructive chronique (MPOC), maladie mentale, troubles anxieux et de l’humeur, schizophrénie, </w:t>
      </w:r>
      <w:r w:rsidR="00C876C3">
        <w:rPr>
          <w:sz w:val="20"/>
          <w:szCs w:val="20"/>
        </w:rPr>
        <w:t xml:space="preserve">arthrite, </w:t>
      </w:r>
      <w:r>
        <w:rPr>
          <w:sz w:val="20"/>
          <w:szCs w:val="20"/>
        </w:rPr>
        <w:t>ostéoporose, fractures (hanche, poignet, bassin, humérus, colonne vertébrale</w:t>
      </w:r>
      <w:r w:rsidR="00794792">
        <w:rPr>
          <w:sz w:val="20"/>
          <w:szCs w:val="20"/>
        </w:rPr>
        <w:t>, t</w:t>
      </w:r>
      <w:r w:rsidR="00794792" w:rsidRPr="00794792">
        <w:rPr>
          <w:sz w:val="20"/>
          <w:szCs w:val="20"/>
        </w:rPr>
        <w:t>oute fracture</w:t>
      </w:r>
      <w:r>
        <w:rPr>
          <w:sz w:val="20"/>
          <w:szCs w:val="20"/>
        </w:rPr>
        <w:t xml:space="preserve">), arthrose, </w:t>
      </w:r>
      <w:r w:rsidR="001D41C3" w:rsidRPr="001D41C3">
        <w:rPr>
          <w:sz w:val="20"/>
          <w:szCs w:val="20"/>
        </w:rPr>
        <w:t>Goutte et arthropathies cristallines</w:t>
      </w:r>
      <w:r>
        <w:rPr>
          <w:sz w:val="20"/>
          <w:szCs w:val="20"/>
        </w:rPr>
        <w:t>, arthrite rhumatoïde (sauf pour Terre-Neuve-et-Labrador), arthrite idiopathique juvénile (sauf pour le Nouveau-Brunswick, données de 2016)</w:t>
      </w:r>
      <w:r>
        <w:rPr>
          <w:rFonts w:ascii="Times New Roman" w:hAnsi="Times New Roman"/>
          <w:szCs w:val="24"/>
        </w:rPr>
        <w:t xml:space="preserve">, </w:t>
      </w:r>
      <w:r>
        <w:rPr>
          <w:sz w:val="20"/>
          <w:szCs w:val="20"/>
        </w:rPr>
        <w:t>sclérose en plaques (sauf p</w:t>
      </w:r>
      <w:r w:rsidR="00550622">
        <w:rPr>
          <w:sz w:val="20"/>
          <w:szCs w:val="20"/>
        </w:rPr>
        <w:t>our le Québec</w:t>
      </w:r>
      <w:r>
        <w:rPr>
          <w:sz w:val="20"/>
          <w:szCs w:val="20"/>
        </w:rPr>
        <w:t>), épilepsie (sauf pour le Québec), parkinsonisme, et démence, y compris la maladie d’Alzheimer (sauf pour la Saskatchewan).</w:t>
      </w:r>
    </w:p>
    <w:p w:rsidR="00794ADE" w:rsidRPr="0019778E" w:rsidRDefault="00794ADE" w:rsidP="00333A4E">
      <w:pPr>
        <w:spacing w:after="0"/>
        <w:rPr>
          <w:color w:val="000000"/>
          <w:sz w:val="20"/>
          <w:szCs w:val="20"/>
        </w:rPr>
      </w:pPr>
      <w:r>
        <w:rPr>
          <w:rFonts w:ascii="Helv" w:hAnsi="Helv"/>
          <w:color w:val="000000"/>
          <w:sz w:val="20"/>
          <w:szCs w:val="20"/>
          <w:vertAlign w:val="superscript"/>
        </w:rPr>
        <w:t>3</w:t>
      </w:r>
      <w:r>
        <w:rPr>
          <w:color w:val="000000"/>
          <w:sz w:val="20"/>
          <w:szCs w:val="20"/>
        </w:rPr>
        <w:t xml:space="preserve"> </w:t>
      </w:r>
      <w:r w:rsidRPr="0019778E">
        <w:rPr>
          <w:color w:val="000000"/>
          <w:sz w:val="20"/>
          <w:szCs w:val="20"/>
        </w:rPr>
        <w:t>Les données pour le Nunavut ont été recueillies à partir de l’exercice 2005, et les données de 2016 sont exclues. Les données pour le Yukon ont été recueillies à partir de l’exercice 2006, et les données de la Saskatchewan ne sont pas disponibles pour l’exercice 2016.</w:t>
      </w:r>
      <w:r w:rsidR="0019778E" w:rsidRPr="0019778E">
        <w:rPr>
          <w:color w:val="000000"/>
          <w:sz w:val="20"/>
          <w:szCs w:val="20"/>
        </w:rPr>
        <w:t xml:space="preserve"> </w:t>
      </w:r>
      <w:r w:rsidR="0019778E" w:rsidRPr="0019778E">
        <w:rPr>
          <w:rFonts w:cs="Arial"/>
          <w:color w:val="333333"/>
          <w:sz w:val="20"/>
          <w:szCs w:val="20"/>
          <w:lang w:val="fr-FR"/>
        </w:rPr>
        <w:t>Les données de la Nouvelle-Écosse ont été exclues les personnes âgées de 1 à 19 ans.</w:t>
      </w:r>
    </w:p>
    <w:p w:rsidR="0051390F" w:rsidRDefault="0051390F" w:rsidP="00333A4E">
      <w:pPr>
        <w:spacing w:after="0"/>
        <w:rPr>
          <w:color w:val="000000"/>
          <w:sz w:val="20"/>
          <w:szCs w:val="20"/>
        </w:rPr>
      </w:pPr>
    </w:p>
    <w:p w:rsidR="00550622" w:rsidRPr="00550622" w:rsidRDefault="0051390F" w:rsidP="00550622">
      <w:pPr>
        <w:spacing w:after="0" w:line="240" w:lineRule="auto"/>
        <w:rPr>
          <w:rFonts w:eastAsia="Times New Roman" w:cs="Times New Roman"/>
          <w:sz w:val="20"/>
          <w:szCs w:val="20"/>
          <w:lang w:eastAsia="fr-CA"/>
        </w:rPr>
      </w:pPr>
      <w:r w:rsidRPr="0051390F">
        <w:rPr>
          <w:rFonts w:eastAsia="Times New Roman" w:cs="Times New Roman"/>
          <w:b/>
          <w:sz w:val="20"/>
          <w:szCs w:val="20"/>
          <w:vertAlign w:val="superscript"/>
          <w:lang w:eastAsia="fr-CA"/>
        </w:rPr>
        <w:t>4</w:t>
      </w:r>
      <w:r w:rsidRPr="0051390F">
        <w:rPr>
          <w:rFonts w:eastAsia="Times New Roman" w:cs="Times New Roman"/>
          <w:b/>
          <w:sz w:val="20"/>
          <w:szCs w:val="20"/>
          <w:lang w:eastAsia="fr-CA"/>
        </w:rPr>
        <w:t xml:space="preserve"> </w:t>
      </w:r>
      <w:r w:rsidRPr="0051390F">
        <w:rPr>
          <w:rFonts w:eastAsia="Times New Roman" w:cs="Times New Roman"/>
          <w:sz w:val="20"/>
          <w:szCs w:val="20"/>
          <w:lang w:eastAsia="fr-CA"/>
        </w:rPr>
        <w:t>Pour Terre-Neuve-et-Labrador</w:t>
      </w:r>
      <w:r w:rsidRPr="0051390F">
        <w:rPr>
          <w:rFonts w:eastAsia="Times New Roman" w:cs="Times New Roman"/>
          <w:b/>
          <w:sz w:val="20"/>
          <w:szCs w:val="20"/>
          <w:lang w:eastAsia="fr-CA"/>
        </w:rPr>
        <w:t> </w:t>
      </w:r>
      <w:r w:rsidRPr="0051390F">
        <w:rPr>
          <w:rFonts w:eastAsia="Times New Roman" w:cs="Times New Roman"/>
          <w:sz w:val="20"/>
          <w:szCs w:val="20"/>
          <w:lang w:eastAsia="fr-CA"/>
        </w:rPr>
        <w:t>d</w:t>
      </w:r>
      <w:r w:rsidR="00550622" w:rsidRPr="00550622">
        <w:rPr>
          <w:rFonts w:eastAsia="Times New Roman" w:cs="Times New Roman"/>
          <w:sz w:val="20"/>
          <w:szCs w:val="20"/>
          <w:lang w:eastAsia="fr-CA"/>
        </w:rPr>
        <w:t>es estimations démographiques fondées sur le recensement ont été utilisées pour déclarer les taux pour les exercices antérieurs à 2008</w:t>
      </w:r>
      <w:r w:rsidR="00F454D4">
        <w:rPr>
          <w:rFonts w:eastAsia="Times New Roman" w:cs="Times New Roman"/>
          <w:sz w:val="20"/>
          <w:szCs w:val="20"/>
          <w:lang w:eastAsia="fr-CA"/>
        </w:rPr>
        <w:t>.</w:t>
      </w:r>
    </w:p>
    <w:p w:rsidR="00550622" w:rsidRDefault="00550622" w:rsidP="00333A4E">
      <w:pPr>
        <w:spacing w:after="0"/>
        <w:rPr>
          <w:rFonts w:cstheme="minorHAnsi"/>
          <w:color w:val="000000"/>
          <w:sz w:val="20"/>
          <w:szCs w:val="20"/>
        </w:rPr>
      </w:pPr>
    </w:p>
    <w:p w:rsidR="00784B11" w:rsidRPr="00101DED" w:rsidRDefault="00F454D4" w:rsidP="00794A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5</w:t>
      </w:r>
      <w:r w:rsidR="000F5D57">
        <w:rPr>
          <w:color w:val="000000"/>
          <w:sz w:val="20"/>
          <w:szCs w:val="20"/>
        </w:rPr>
        <w:t xml:space="preserve"> Pour la déclaration, veuillez consulter la colonne « Année de début de la déclaration de données » pour chaque maladie dans le document v2018_CCDSS OpenData.xls.</w:t>
      </w:r>
    </w:p>
    <w:p w:rsidR="00794ADE" w:rsidRPr="00101DED" w:rsidRDefault="0095647C" w:rsidP="00794A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mention « </w:t>
      </w:r>
      <w:r w:rsidR="00794ADE">
        <w:rPr>
          <w:color w:val="000000"/>
          <w:sz w:val="20"/>
          <w:szCs w:val="20"/>
        </w:rPr>
        <w:t>S.O.</w:t>
      </w:r>
      <w:r>
        <w:rPr>
          <w:color w:val="000000"/>
          <w:sz w:val="20"/>
          <w:szCs w:val="20"/>
        </w:rPr>
        <w:t> »</w:t>
      </w:r>
      <w:r w:rsidR="00794ADE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indique que les données n’étaient pas disponibles</w:t>
      </w:r>
      <w:r w:rsidR="00794ADE">
        <w:rPr>
          <w:color w:val="000000"/>
          <w:sz w:val="20"/>
          <w:szCs w:val="20"/>
        </w:rPr>
        <w:t>.</w:t>
      </w:r>
    </w:p>
    <w:p w:rsidR="005A5CA6" w:rsidRPr="00B31E46" w:rsidRDefault="005A5CA6" w:rsidP="00B43385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Remerciements</w:t>
      </w:r>
    </w:p>
    <w:p w:rsidR="00A74A45" w:rsidRDefault="005A5CA6" w:rsidP="00B43385">
      <w:pPr>
        <w:spacing w:after="0" w:line="240" w:lineRule="auto"/>
        <w:rPr>
          <w:color w:val="4F81BD" w:themeColor="accent1"/>
          <w:sz w:val="18"/>
          <w:szCs w:val="18"/>
        </w:rPr>
      </w:pPr>
      <w:r>
        <w:rPr>
          <w:color w:val="000000"/>
          <w:sz w:val="16"/>
          <w:szCs w:val="16"/>
        </w:rPr>
        <w:t xml:space="preserve">Ces données ont pu être recueillies grâce à la collaboration entre l’Agence de la santé publique du Canada (ASPC) et les gouvernements provinciaux et territoriaux de l’Alberta, de Terre-Neuve-et-Labrador, de l’Île-du-Prince-Édouard, de la Nouvelle-Écosse, du Nouveau-Brunswick, du Québec, de l’Ontario, du Manitoba, de la Saskatchewan, de la Colombie-Britannique, du Yukon, des Territoires du Nord-Ouest et du Nunavut. </w:t>
      </w:r>
      <w:r w:rsidR="00852D93" w:rsidRPr="00852D93">
        <w:rPr>
          <w:color w:val="000000"/>
          <w:sz w:val="16"/>
          <w:szCs w:val="16"/>
        </w:rPr>
        <w:t>Elles ne sont pas sanctionnées par les provinces et les territoires et ne doivent pas être perçues comme tel</w:t>
      </w:r>
      <w:r w:rsidR="00106DEE">
        <w:rPr>
          <w:color w:val="000000"/>
          <w:sz w:val="16"/>
          <w:szCs w:val="16"/>
        </w:rPr>
        <w:t>les</w:t>
      </w:r>
      <w:r>
        <w:rPr>
          <w:color w:val="000000"/>
          <w:sz w:val="16"/>
          <w:szCs w:val="16"/>
        </w:rPr>
        <w:t>.</w:t>
      </w:r>
      <w:r>
        <w:rPr>
          <w:rFonts w:ascii="Courier" w:hAnsi="Courier"/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 xml:space="preserve">Les données provinciales et territoriales ont été envoyées au SCSMC en février 2019. </w:t>
      </w:r>
      <w:r>
        <w:rPr>
          <w:color w:val="4F81BD" w:themeColor="accent1"/>
          <w:sz w:val="18"/>
          <w:szCs w:val="18"/>
        </w:rPr>
        <w:t xml:space="preserve">Toute question au sujet de ces données doit être envoyée à </w:t>
      </w:r>
      <w:hyperlink r:id="rId8" w:history="1">
        <w:r w:rsidR="0095647C" w:rsidRPr="000250B2">
          <w:rPr>
            <w:rStyle w:val="Hyperlink"/>
            <w:sz w:val="18"/>
            <w:szCs w:val="18"/>
          </w:rPr>
          <w:t>infobase@phac-aspc.gc.ca</w:t>
        </w:r>
      </w:hyperlink>
      <w:r>
        <w:t>.</w:t>
      </w:r>
    </w:p>
    <w:p w:rsidR="006311C3" w:rsidRDefault="006311C3" w:rsidP="00B43385">
      <w:pPr>
        <w:spacing w:after="0" w:line="240" w:lineRule="auto"/>
        <w:rPr>
          <w:color w:val="4F81BD" w:themeColor="accent1"/>
          <w:sz w:val="18"/>
          <w:szCs w:val="18"/>
        </w:rPr>
      </w:pPr>
    </w:p>
    <w:p w:rsidR="006311C3" w:rsidRPr="00333087" w:rsidRDefault="006311C3" w:rsidP="00B43385">
      <w:pPr>
        <w:spacing w:after="0" w:line="240" w:lineRule="auto"/>
        <w:rPr>
          <w:sz w:val="18"/>
          <w:szCs w:val="18"/>
        </w:rPr>
      </w:pPr>
    </w:p>
    <w:sectPr w:rsidR="006311C3" w:rsidRPr="00333087" w:rsidSect="004310A4">
      <w:footerReference w:type="default" r:id="rId9"/>
      <w:pgSz w:w="12240" w:h="15840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DC" w:rsidRDefault="00BD00DC" w:rsidP="00942BFE">
      <w:pPr>
        <w:spacing w:after="0" w:line="240" w:lineRule="auto"/>
      </w:pPr>
      <w:r>
        <w:separator/>
      </w:r>
    </w:p>
  </w:endnote>
  <w:endnote w:type="continuationSeparator" w:id="0">
    <w:p w:rsidR="00BD00DC" w:rsidRDefault="00BD00DC" w:rsidP="009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563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87C" w:rsidRDefault="007538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0B1">
          <w:rPr>
            <w:noProof/>
          </w:rPr>
          <w:t>1</w:t>
        </w:r>
        <w:r>
          <w:fldChar w:fldCharType="end"/>
        </w:r>
      </w:p>
    </w:sdtContent>
  </w:sdt>
  <w:p w:rsidR="0075387C" w:rsidRDefault="00753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DC" w:rsidRDefault="00BD00DC" w:rsidP="00942BFE">
      <w:pPr>
        <w:spacing w:after="0" w:line="240" w:lineRule="auto"/>
      </w:pPr>
      <w:r>
        <w:separator/>
      </w:r>
    </w:p>
  </w:footnote>
  <w:footnote w:type="continuationSeparator" w:id="0">
    <w:p w:rsidR="00BD00DC" w:rsidRDefault="00BD00DC" w:rsidP="00942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4E"/>
    <w:rsid w:val="0000140E"/>
    <w:rsid w:val="000228A8"/>
    <w:rsid w:val="000779DE"/>
    <w:rsid w:val="00093CFE"/>
    <w:rsid w:val="00094A10"/>
    <w:rsid w:val="000D2D35"/>
    <w:rsid w:val="000D7402"/>
    <w:rsid w:val="000D7FB8"/>
    <w:rsid w:val="000F5D57"/>
    <w:rsid w:val="0010121D"/>
    <w:rsid w:val="00101DED"/>
    <w:rsid w:val="00102D72"/>
    <w:rsid w:val="00106DEE"/>
    <w:rsid w:val="0011648F"/>
    <w:rsid w:val="00117AFA"/>
    <w:rsid w:val="00125B5E"/>
    <w:rsid w:val="00143EAA"/>
    <w:rsid w:val="001445E0"/>
    <w:rsid w:val="00154D83"/>
    <w:rsid w:val="00157DA1"/>
    <w:rsid w:val="0019778E"/>
    <w:rsid w:val="001A325C"/>
    <w:rsid w:val="001A7D13"/>
    <w:rsid w:val="001B0325"/>
    <w:rsid w:val="001B1F66"/>
    <w:rsid w:val="001C4E85"/>
    <w:rsid w:val="001D41C3"/>
    <w:rsid w:val="001E7B96"/>
    <w:rsid w:val="001F54D1"/>
    <w:rsid w:val="00210CEC"/>
    <w:rsid w:val="0021691A"/>
    <w:rsid w:val="00225F29"/>
    <w:rsid w:val="00252D9E"/>
    <w:rsid w:val="002768D5"/>
    <w:rsid w:val="00276A8C"/>
    <w:rsid w:val="0028175E"/>
    <w:rsid w:val="00286A5D"/>
    <w:rsid w:val="00291A66"/>
    <w:rsid w:val="00294659"/>
    <w:rsid w:val="002B0124"/>
    <w:rsid w:val="002B161F"/>
    <w:rsid w:val="002B7878"/>
    <w:rsid w:val="002E65C9"/>
    <w:rsid w:val="003034ED"/>
    <w:rsid w:val="0032714D"/>
    <w:rsid w:val="00333087"/>
    <w:rsid w:val="00333A4E"/>
    <w:rsid w:val="00350DCA"/>
    <w:rsid w:val="00391853"/>
    <w:rsid w:val="003A007C"/>
    <w:rsid w:val="003A4047"/>
    <w:rsid w:val="003A6BDC"/>
    <w:rsid w:val="003D1B8C"/>
    <w:rsid w:val="003E417D"/>
    <w:rsid w:val="004011B1"/>
    <w:rsid w:val="00402DBD"/>
    <w:rsid w:val="004140B1"/>
    <w:rsid w:val="00416C7E"/>
    <w:rsid w:val="00417866"/>
    <w:rsid w:val="004208F4"/>
    <w:rsid w:val="0043055E"/>
    <w:rsid w:val="0043074E"/>
    <w:rsid w:val="004310A4"/>
    <w:rsid w:val="004479E0"/>
    <w:rsid w:val="00451BA4"/>
    <w:rsid w:val="0045471E"/>
    <w:rsid w:val="004E3014"/>
    <w:rsid w:val="0051390F"/>
    <w:rsid w:val="0051456C"/>
    <w:rsid w:val="00530A18"/>
    <w:rsid w:val="00546D5C"/>
    <w:rsid w:val="00550622"/>
    <w:rsid w:val="00554BDD"/>
    <w:rsid w:val="005559E2"/>
    <w:rsid w:val="00564AD6"/>
    <w:rsid w:val="00567B8A"/>
    <w:rsid w:val="005734EB"/>
    <w:rsid w:val="0058492D"/>
    <w:rsid w:val="00585757"/>
    <w:rsid w:val="00592235"/>
    <w:rsid w:val="00596E5A"/>
    <w:rsid w:val="005A296C"/>
    <w:rsid w:val="005A55B9"/>
    <w:rsid w:val="005A5CA6"/>
    <w:rsid w:val="005B4ABB"/>
    <w:rsid w:val="005F347C"/>
    <w:rsid w:val="00602059"/>
    <w:rsid w:val="00602883"/>
    <w:rsid w:val="00621DDB"/>
    <w:rsid w:val="00625FBE"/>
    <w:rsid w:val="006311C3"/>
    <w:rsid w:val="006507AB"/>
    <w:rsid w:val="006712E0"/>
    <w:rsid w:val="00674F9F"/>
    <w:rsid w:val="00675A7A"/>
    <w:rsid w:val="00685E43"/>
    <w:rsid w:val="00693339"/>
    <w:rsid w:val="006B5C2D"/>
    <w:rsid w:val="006D0EE1"/>
    <w:rsid w:val="006D6DF3"/>
    <w:rsid w:val="006E3442"/>
    <w:rsid w:val="006F58F8"/>
    <w:rsid w:val="007033E3"/>
    <w:rsid w:val="007229F6"/>
    <w:rsid w:val="0075387C"/>
    <w:rsid w:val="00775EB0"/>
    <w:rsid w:val="007772F8"/>
    <w:rsid w:val="00784B11"/>
    <w:rsid w:val="00786E55"/>
    <w:rsid w:val="0079152A"/>
    <w:rsid w:val="00794792"/>
    <w:rsid w:val="00794ADE"/>
    <w:rsid w:val="00794DE2"/>
    <w:rsid w:val="007B1779"/>
    <w:rsid w:val="007C4D68"/>
    <w:rsid w:val="007D59BB"/>
    <w:rsid w:val="007F0481"/>
    <w:rsid w:val="007F2615"/>
    <w:rsid w:val="007F3B79"/>
    <w:rsid w:val="0080657C"/>
    <w:rsid w:val="008176FC"/>
    <w:rsid w:val="008335EF"/>
    <w:rsid w:val="00852D93"/>
    <w:rsid w:val="008940BE"/>
    <w:rsid w:val="008B7C68"/>
    <w:rsid w:val="008D7A11"/>
    <w:rsid w:val="008E1750"/>
    <w:rsid w:val="008E523C"/>
    <w:rsid w:val="008F25B3"/>
    <w:rsid w:val="00902A0D"/>
    <w:rsid w:val="009055C2"/>
    <w:rsid w:val="00912BE6"/>
    <w:rsid w:val="00942BFE"/>
    <w:rsid w:val="0095647C"/>
    <w:rsid w:val="0097668D"/>
    <w:rsid w:val="0098394A"/>
    <w:rsid w:val="00992758"/>
    <w:rsid w:val="009A58BE"/>
    <w:rsid w:val="009A784F"/>
    <w:rsid w:val="009D00DC"/>
    <w:rsid w:val="009D4342"/>
    <w:rsid w:val="009E46D3"/>
    <w:rsid w:val="009F53A4"/>
    <w:rsid w:val="009F6F8E"/>
    <w:rsid w:val="00A147D8"/>
    <w:rsid w:val="00A213D2"/>
    <w:rsid w:val="00A35CE4"/>
    <w:rsid w:val="00A404DB"/>
    <w:rsid w:val="00A44F2C"/>
    <w:rsid w:val="00A454FE"/>
    <w:rsid w:val="00A46647"/>
    <w:rsid w:val="00A478F7"/>
    <w:rsid w:val="00A5637A"/>
    <w:rsid w:val="00A57114"/>
    <w:rsid w:val="00A65163"/>
    <w:rsid w:val="00A65CDD"/>
    <w:rsid w:val="00A74A45"/>
    <w:rsid w:val="00A77F8E"/>
    <w:rsid w:val="00A80628"/>
    <w:rsid w:val="00A82507"/>
    <w:rsid w:val="00A8568D"/>
    <w:rsid w:val="00A97E80"/>
    <w:rsid w:val="00AC1870"/>
    <w:rsid w:val="00AC22A1"/>
    <w:rsid w:val="00AC54B8"/>
    <w:rsid w:val="00AC59CF"/>
    <w:rsid w:val="00AD0BD0"/>
    <w:rsid w:val="00AD218E"/>
    <w:rsid w:val="00AD391E"/>
    <w:rsid w:val="00AD5463"/>
    <w:rsid w:val="00AD7ACC"/>
    <w:rsid w:val="00AE0DB2"/>
    <w:rsid w:val="00AF1422"/>
    <w:rsid w:val="00B050C4"/>
    <w:rsid w:val="00B31E46"/>
    <w:rsid w:val="00B330CE"/>
    <w:rsid w:val="00B41559"/>
    <w:rsid w:val="00B43385"/>
    <w:rsid w:val="00B529DA"/>
    <w:rsid w:val="00B60844"/>
    <w:rsid w:val="00B9170A"/>
    <w:rsid w:val="00BB646B"/>
    <w:rsid w:val="00BC7150"/>
    <w:rsid w:val="00BD00DC"/>
    <w:rsid w:val="00BD25F3"/>
    <w:rsid w:val="00BD404E"/>
    <w:rsid w:val="00BD4D11"/>
    <w:rsid w:val="00BE4079"/>
    <w:rsid w:val="00BE6CAB"/>
    <w:rsid w:val="00BE7666"/>
    <w:rsid w:val="00BF5EA2"/>
    <w:rsid w:val="00C0302A"/>
    <w:rsid w:val="00C10BBE"/>
    <w:rsid w:val="00C1749D"/>
    <w:rsid w:val="00C2119A"/>
    <w:rsid w:val="00C300C9"/>
    <w:rsid w:val="00C32C79"/>
    <w:rsid w:val="00C44341"/>
    <w:rsid w:val="00C52289"/>
    <w:rsid w:val="00C876C3"/>
    <w:rsid w:val="00CA2A4F"/>
    <w:rsid w:val="00CB404D"/>
    <w:rsid w:val="00CB6E45"/>
    <w:rsid w:val="00CB74A3"/>
    <w:rsid w:val="00CE2D63"/>
    <w:rsid w:val="00D54274"/>
    <w:rsid w:val="00D54AF7"/>
    <w:rsid w:val="00D623D1"/>
    <w:rsid w:val="00D72C84"/>
    <w:rsid w:val="00D758EB"/>
    <w:rsid w:val="00D856CF"/>
    <w:rsid w:val="00D901A2"/>
    <w:rsid w:val="00DA1159"/>
    <w:rsid w:val="00DA46EB"/>
    <w:rsid w:val="00DC42EB"/>
    <w:rsid w:val="00DC585A"/>
    <w:rsid w:val="00DE76FB"/>
    <w:rsid w:val="00DF5B43"/>
    <w:rsid w:val="00E22E8B"/>
    <w:rsid w:val="00E40394"/>
    <w:rsid w:val="00E41C12"/>
    <w:rsid w:val="00E44944"/>
    <w:rsid w:val="00E508C9"/>
    <w:rsid w:val="00E55EF3"/>
    <w:rsid w:val="00E623FF"/>
    <w:rsid w:val="00E71AC7"/>
    <w:rsid w:val="00E75908"/>
    <w:rsid w:val="00E847A2"/>
    <w:rsid w:val="00E93332"/>
    <w:rsid w:val="00EA7DAA"/>
    <w:rsid w:val="00EC58E4"/>
    <w:rsid w:val="00ED28DA"/>
    <w:rsid w:val="00F14DF9"/>
    <w:rsid w:val="00F256D4"/>
    <w:rsid w:val="00F30AFA"/>
    <w:rsid w:val="00F3577D"/>
    <w:rsid w:val="00F36964"/>
    <w:rsid w:val="00F4464E"/>
    <w:rsid w:val="00F454D4"/>
    <w:rsid w:val="00F46E14"/>
    <w:rsid w:val="00F47EEE"/>
    <w:rsid w:val="00F51253"/>
    <w:rsid w:val="00F51654"/>
    <w:rsid w:val="00F6049A"/>
    <w:rsid w:val="00F67C8A"/>
    <w:rsid w:val="00F7739D"/>
    <w:rsid w:val="00F858E5"/>
    <w:rsid w:val="00FC21D6"/>
    <w:rsid w:val="00FC2C94"/>
    <w:rsid w:val="00FC6D85"/>
    <w:rsid w:val="00FD0AF1"/>
    <w:rsid w:val="00FD6A40"/>
    <w:rsid w:val="00FD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BFE"/>
  </w:style>
  <w:style w:type="paragraph" w:styleId="Footer">
    <w:name w:val="footer"/>
    <w:basedOn w:val="Normal"/>
    <w:link w:val="FooterChar"/>
    <w:uiPriority w:val="99"/>
    <w:unhideWhenUsed/>
    <w:rsid w:val="0094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BFE"/>
  </w:style>
  <w:style w:type="paragraph" w:styleId="BalloonText">
    <w:name w:val="Balloon Text"/>
    <w:basedOn w:val="Normal"/>
    <w:link w:val="BalloonTextChar"/>
    <w:uiPriority w:val="99"/>
    <w:semiHidden/>
    <w:unhideWhenUsed/>
    <w:rsid w:val="00A8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1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61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08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08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0844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8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844"/>
  </w:style>
  <w:style w:type="paragraph" w:styleId="Revision">
    <w:name w:val="Revision"/>
    <w:hidden/>
    <w:uiPriority w:val="99"/>
    <w:semiHidden/>
    <w:rsid w:val="009F53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1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BFE"/>
  </w:style>
  <w:style w:type="paragraph" w:styleId="Footer">
    <w:name w:val="footer"/>
    <w:basedOn w:val="Normal"/>
    <w:link w:val="FooterChar"/>
    <w:uiPriority w:val="99"/>
    <w:unhideWhenUsed/>
    <w:rsid w:val="0094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BFE"/>
  </w:style>
  <w:style w:type="paragraph" w:styleId="BalloonText">
    <w:name w:val="Balloon Text"/>
    <w:basedOn w:val="Normal"/>
    <w:link w:val="BalloonTextChar"/>
    <w:uiPriority w:val="99"/>
    <w:semiHidden/>
    <w:unhideWhenUsed/>
    <w:rsid w:val="00A8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1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61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08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08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0844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8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844"/>
  </w:style>
  <w:style w:type="paragraph" w:styleId="Revision">
    <w:name w:val="Revision"/>
    <w:hidden/>
    <w:uiPriority w:val="99"/>
    <w:semiHidden/>
    <w:rsid w:val="009F53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1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base@phac-aspc.gc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DC0F-4DE6-4A9F-97D2-5997C87D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Canada - Santé Canada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JELLISON</dc:creator>
  <cp:lastModifiedBy>Joellyn Ellison</cp:lastModifiedBy>
  <cp:revision>10</cp:revision>
  <cp:lastPrinted>2018-02-09T13:35:00Z</cp:lastPrinted>
  <dcterms:created xsi:type="dcterms:W3CDTF">2019-04-05T17:24:00Z</dcterms:created>
  <dcterms:modified xsi:type="dcterms:W3CDTF">2019-04-24T18:26:00Z</dcterms:modified>
</cp:coreProperties>
</file>